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882238" w:rsidR="00FD38C8" w:rsidP="00FD38C8" w:rsidRDefault="00FD38C8" w14:paraId="08B21A0B" w14:textId="4BBA025F">
      <w:pPr>
        <w:rPr>
          <w:b/>
          <w:bCs/>
        </w:rPr>
      </w:pPr>
      <w:r w:rsidRPr="00882238">
        <w:rPr>
          <w:b/>
          <w:bCs/>
        </w:rPr>
        <w:t xml:space="preserve">Generic </w:t>
      </w:r>
      <w:r w:rsidRPr="00882238" w:rsidR="00520C07">
        <w:rPr>
          <w:b/>
          <w:bCs/>
        </w:rPr>
        <w:t>Competencies</w:t>
      </w:r>
      <w:r w:rsidRPr="00882238" w:rsidR="00520C07">
        <w:rPr>
          <w:b/>
          <w:bCs/>
        </w:rPr>
        <w:t xml:space="preserve"> </w:t>
      </w:r>
      <w:r w:rsidR="00520C07">
        <w:rPr>
          <w:b/>
          <w:bCs/>
        </w:rPr>
        <w:t xml:space="preserve">in </w:t>
      </w:r>
      <w:r w:rsidRPr="00882238">
        <w:rPr>
          <w:b/>
          <w:bCs/>
        </w:rPr>
        <w:t xml:space="preserve">Clinical Neuropsychology </w:t>
      </w:r>
    </w:p>
    <w:p w:rsidR="00752839" w:rsidP="00FD38C8" w:rsidRDefault="009F01E9" w14:paraId="3598584C" w14:textId="6595CAB4">
      <w:r>
        <w:t>In order to be eligible for specialist training in Clinical Neuropsychology that is accredited by the BPS Division of Neuropsychology, applicants need to demons</w:t>
      </w:r>
      <w:r w:rsidR="00CD6274">
        <w:t>trate Generic</w:t>
      </w:r>
      <w:r w:rsidR="00FC5A75">
        <w:t xml:space="preserve"> C</w:t>
      </w:r>
      <w:r w:rsidR="00CD6274">
        <w:t xml:space="preserve">ompetencies </w:t>
      </w:r>
      <w:r w:rsidR="00ED0B8C">
        <w:t xml:space="preserve">in </w:t>
      </w:r>
      <w:r w:rsidR="00483EE3">
        <w:t>Clinical N</w:t>
      </w:r>
      <w:r w:rsidR="00FC5A75">
        <w:t>europsychology</w:t>
      </w:r>
      <w:r w:rsidR="00ED0B8C">
        <w:t>. These competencies were established by the</w:t>
      </w:r>
      <w:r w:rsidR="0067333A">
        <w:t xml:space="preserve"> Professional Standards Unit</w:t>
      </w:r>
      <w:r w:rsidR="005A0634">
        <w:t xml:space="preserve"> of the</w:t>
      </w:r>
      <w:r w:rsidR="00ED0B8C">
        <w:t xml:space="preserve"> </w:t>
      </w:r>
      <w:r w:rsidR="00882238">
        <w:t>BPS Division of Neuropsychology.</w:t>
      </w:r>
    </w:p>
    <w:p w:rsidR="00897A7B" w:rsidP="00FD38C8" w:rsidRDefault="00752839" w14:paraId="0A748C0A" w14:textId="5422B8DE">
      <w:r w:rsidRPr="5E3C0884" w:rsidR="00752839">
        <w:rPr>
          <w:color w:val="000000" w:themeColor="text1" w:themeTint="FF" w:themeShade="FF"/>
        </w:rPr>
        <w:t xml:space="preserve">The competencies </w:t>
      </w:r>
      <w:r w:rsidRPr="5E3C0884" w:rsidR="0AE99ECB">
        <w:rPr>
          <w:color w:val="000000" w:themeColor="text1" w:themeTint="FF" w:themeShade="FF"/>
        </w:rPr>
        <w:t xml:space="preserve">below </w:t>
      </w:r>
      <w:r w:rsidRPr="5E3C0884" w:rsidR="00752839">
        <w:rPr>
          <w:color w:val="000000" w:themeColor="text1" w:themeTint="FF" w:themeShade="FF"/>
        </w:rPr>
        <w:t xml:space="preserve">are </w:t>
      </w:r>
      <w:r w:rsidRPr="5E3C0884" w:rsidR="00BF2081">
        <w:rPr>
          <w:color w:val="000000" w:themeColor="text1" w:themeTint="FF" w:themeShade="FF"/>
        </w:rPr>
        <w:t>not explicitly referenced in the HCPC standards for Counselling Psychology</w:t>
      </w:r>
      <w:r w:rsidRPr="5E3C0884" w:rsidR="02377797">
        <w:rPr>
          <w:color w:val="000000" w:themeColor="text1" w:themeTint="FF" w:themeShade="FF"/>
        </w:rPr>
        <w:t xml:space="preserve"> but are </w:t>
      </w:r>
      <w:r w:rsidRPr="5E3C0884" w:rsidR="02377797">
        <w:rPr>
          <w:color w:val="000000" w:themeColor="text1" w:themeTint="FF" w:themeShade="FF"/>
        </w:rPr>
        <w:t>foundational for subsequent specialist training in clinical neuropsychology</w:t>
      </w:r>
      <w:r w:rsidRPr="5E3C0884" w:rsidR="00BF2081">
        <w:rPr>
          <w:color w:val="000000" w:themeColor="text1" w:themeTint="FF" w:themeShade="FF"/>
        </w:rPr>
        <w:t xml:space="preserve">. </w:t>
      </w:r>
      <w:r w:rsidRPr="5E3C0884" w:rsidR="00724D18">
        <w:rPr>
          <w:color w:val="000000" w:themeColor="text1" w:themeTint="FF" w:themeShade="FF"/>
        </w:rPr>
        <w:t xml:space="preserve">As such, </w:t>
      </w:r>
      <w:r w:rsidRPr="5E3C0884" w:rsidR="00752839">
        <w:rPr>
          <w:color w:val="000000" w:themeColor="text1" w:themeTint="FF" w:themeShade="FF"/>
        </w:rPr>
        <w:t xml:space="preserve">we ask applicants from Counselling Psychology backgrounds to </w:t>
      </w:r>
      <w:r w:rsidRPr="5E3C0884" w:rsidR="005B0B76">
        <w:rPr>
          <w:color w:val="000000" w:themeColor="text1" w:themeTint="FF" w:themeShade="FF"/>
        </w:rPr>
        <w:t>use</w:t>
      </w:r>
      <w:r w:rsidRPr="5E3C0884" w:rsidR="00752839">
        <w:rPr>
          <w:color w:val="000000" w:themeColor="text1" w:themeTint="FF" w:themeShade="FF"/>
        </w:rPr>
        <w:t xml:space="preserve"> the checklist below to indicate that they have met </w:t>
      </w:r>
      <w:r w:rsidRPr="5E3C0884" w:rsidR="005B0B76">
        <w:rPr>
          <w:color w:val="000000" w:themeColor="text1" w:themeTint="FF" w:themeShade="FF"/>
        </w:rPr>
        <w:t xml:space="preserve">all the </w:t>
      </w:r>
      <w:r w:rsidRPr="5E3C0884" w:rsidR="00752839">
        <w:rPr>
          <w:color w:val="000000" w:themeColor="text1" w:themeTint="FF" w:themeShade="FF"/>
        </w:rPr>
        <w:t xml:space="preserve">required </w:t>
      </w:r>
      <w:r w:rsidRPr="5E3C0884" w:rsidR="3080C9A3">
        <w:rPr>
          <w:color w:val="000000" w:themeColor="text1" w:themeTint="FF" w:themeShade="FF"/>
        </w:rPr>
        <w:t xml:space="preserve">foundation </w:t>
      </w:r>
      <w:r w:rsidRPr="5E3C0884" w:rsidR="00752839">
        <w:rPr>
          <w:color w:val="000000" w:themeColor="text1" w:themeTint="FF" w:themeShade="FF"/>
        </w:rPr>
        <w:t>competenc</w:t>
      </w:r>
      <w:r w:rsidR="00752839">
        <w:rPr/>
        <w:t xml:space="preserve">ies. In addition, please use the </w:t>
      </w:r>
      <w:r w:rsidR="006C1BF3">
        <w:rPr/>
        <w:t xml:space="preserve">text box at the bottom of the document to provide a brief description of how you have met these </w:t>
      </w:r>
      <w:r w:rsidR="000F0E1B">
        <w:rPr/>
        <w:t>requirements</w:t>
      </w:r>
      <w:r w:rsidR="00724D18">
        <w:rPr/>
        <w:t xml:space="preserve"> (c.500 words)</w:t>
      </w:r>
      <w:r w:rsidR="000F0E1B">
        <w:rPr/>
        <w:t xml:space="preserve">. We note that these competencies are not necessarily represented explicitly on the Counselling Psychology Doctorate and applicants may </w:t>
      </w:r>
      <w:r w:rsidR="00E477A6">
        <w:rPr/>
        <w:t>indicate where training</w:t>
      </w:r>
      <w:r w:rsidR="0049582B">
        <w:rPr/>
        <w:t>,</w:t>
      </w:r>
      <w:r w:rsidR="00E477A6">
        <w:rPr/>
        <w:t xml:space="preserve"> </w:t>
      </w:r>
      <w:r w:rsidR="00897A7B">
        <w:rPr/>
        <w:t xml:space="preserve">clinical </w:t>
      </w:r>
      <w:r w:rsidR="00E477A6">
        <w:rPr/>
        <w:t>experience</w:t>
      </w:r>
      <w:r w:rsidR="0049582B">
        <w:rPr/>
        <w:t xml:space="preserve"> and continued professional development</w:t>
      </w:r>
      <w:r w:rsidR="00E477A6">
        <w:rPr/>
        <w:t xml:space="preserve"> have contributed to </w:t>
      </w:r>
      <w:r w:rsidR="0049582B">
        <w:rPr/>
        <w:t>attainment</w:t>
      </w:r>
      <w:r w:rsidR="00E477A6">
        <w:rPr/>
        <w:t xml:space="preserve"> of competencies.</w:t>
      </w:r>
      <w:bookmarkStart w:name="_GoBack" w:id="0"/>
      <w:bookmarkEnd w:id="0"/>
    </w:p>
    <w:p w:rsidR="001E777B" w:rsidP="001E777B" w:rsidRDefault="009B7885" w14:paraId="54B94312" w14:textId="77777777">
      <w:r w:rsidRPr="00A723F0">
        <w:rPr>
          <w:b/>
          <w:bCs/>
        </w:rPr>
        <w:t>Generic Competencies in Clinical Neuropsycholog</w:t>
      </w:r>
      <w:r w:rsidRPr="00A723F0" w:rsidR="00A723F0">
        <w:rPr>
          <w:b/>
          <w:bCs/>
        </w:rPr>
        <w:t>y</w:t>
      </w:r>
      <w:r w:rsidRPr="001E777B" w:rsidR="001E777B">
        <w:t xml:space="preserve"> </w:t>
      </w:r>
    </w:p>
    <w:p w:rsidR="001E777B" w:rsidP="001E777B" w:rsidRDefault="001E777B" w14:paraId="16F47B0B" w14:textId="72A23ADE">
      <w:r>
        <w:t>Please check each box to indicate attainment of the following ten competencies</w:t>
      </w:r>
    </w:p>
    <w:p w:rsidRPr="00A723F0" w:rsidR="009B7885" w:rsidP="00FD38C8" w:rsidRDefault="001E777B" w14:paraId="6E6D543F" w14:textId="33283045">
      <w:pPr>
        <w:rPr>
          <w:b/>
          <w:bCs/>
        </w:rPr>
      </w:pPr>
      <w:r>
        <w:pict w14:anchorId="4596542E">
          <v:rect id="_x0000_i1028" style="width:0;height:1.5pt" o:hr="t" o:hrstd="t" o:hralign="center" fillcolor="#a0a0a0" stroked="f"/>
        </w:pic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3"/>
        <w:gridCol w:w="7157"/>
        <w:gridCol w:w="1366"/>
      </w:tblGrid>
      <w:tr w:rsidR="00A2161F" w:rsidTr="00544DFC" w14:paraId="073AC7A7" w14:textId="77777777">
        <w:tc>
          <w:tcPr>
            <w:tcW w:w="493" w:type="dxa"/>
          </w:tcPr>
          <w:p w:rsidRPr="004F6FA5" w:rsidR="00A2161F" w:rsidP="00FD38C8" w:rsidRDefault="009F6FFD" w14:paraId="139F53EA" w14:textId="3D8369B3">
            <w:pPr>
              <w:rPr>
                <w:rFonts w:asciiTheme="majorHAnsi" w:hAnsiTheme="majorHAnsi"/>
              </w:rPr>
            </w:pPr>
            <w:r w:rsidRPr="004F6FA5">
              <w:rPr>
                <w:rFonts w:asciiTheme="majorHAnsi" w:hAnsiTheme="majorHAnsi"/>
              </w:rPr>
              <w:t>1.</w:t>
            </w:r>
          </w:p>
        </w:tc>
        <w:tc>
          <w:tcPr>
            <w:tcW w:w="7157" w:type="dxa"/>
          </w:tcPr>
          <w:p w:rsidR="004F6FA5" w:rsidP="00FD38C8" w:rsidRDefault="004F6FA5" w14:paraId="1F539D93" w14:textId="77777777">
            <w:pPr>
              <w:rPr>
                <w:rStyle w:val="normaltextrun"/>
                <w:rFonts w:cs="Segoe UI" w:asciiTheme="majorHAnsi" w:hAnsiTheme="majorHAnsi"/>
              </w:rPr>
            </w:pPr>
            <w:r w:rsidRPr="004F6FA5">
              <w:rPr>
                <w:rFonts w:asciiTheme="majorHAnsi" w:hAnsiTheme="majorHAnsi"/>
              </w:rPr>
              <w:t>Able to</w:t>
            </w:r>
            <w:r w:rsidRPr="004F6FA5">
              <w:rPr>
                <w:rStyle w:val="normaltextrun"/>
                <w:rFonts w:cs="Segoe UI" w:asciiTheme="majorHAnsi" w:hAnsiTheme="majorHAnsi"/>
              </w:rPr>
              <w:t xml:space="preserve"> critically review and clinically apply research evidence (Standard 1.1).</w:t>
            </w:r>
          </w:p>
          <w:p w:rsidRPr="004F6FA5" w:rsidR="00A2161F" w:rsidP="00FD38C8" w:rsidRDefault="004F6FA5" w14:paraId="6262FD04" w14:textId="407338B7">
            <w:pPr>
              <w:rPr>
                <w:rFonts w:asciiTheme="majorHAnsi" w:hAnsiTheme="majorHAnsi"/>
              </w:rPr>
            </w:pPr>
            <w:r w:rsidRPr="004F6FA5">
              <w:rPr>
                <w:rStyle w:val="normaltextrun"/>
                <w:rFonts w:cs="Segoe UI" w:asciiTheme="majorHAnsi" w:hAnsiTheme="majorHAnsi"/>
              </w:rPr>
              <w:t> </w:t>
            </w:r>
            <w:r w:rsidRPr="004F6FA5">
              <w:rPr>
                <w:rStyle w:val="eop"/>
                <w:rFonts w:cs="Segoe UI" w:asciiTheme="majorHAnsi" w:hAnsiTheme="majorHAnsi"/>
              </w:rPr>
              <w:t> </w:t>
            </w:r>
          </w:p>
        </w:tc>
        <w:tc>
          <w:tcPr>
            <w:tcW w:w="1366" w:type="dxa"/>
          </w:tcPr>
          <w:p w:rsidRPr="004F6FA5" w:rsidR="00A2161F" w:rsidP="00FD38C8" w:rsidRDefault="009F6FFD" w14:paraId="0A916776" w14:textId="7790E570">
            <w:pPr>
              <w:rPr>
                <w:rFonts w:asciiTheme="majorHAnsi" w:hAnsiTheme="majorHAnsi"/>
              </w:rPr>
            </w:pPr>
            <w:sdt>
              <w:sdtPr>
                <w:rPr>
                  <w:rFonts w:asciiTheme="majorHAnsi" w:hAnsiTheme="majorHAnsi"/>
                </w:rPr>
                <w:id w:val="2089814775"/>
                <w14:checkbox>
                  <w14:checked w14:val="0"/>
                  <w14:checkedState w14:val="2612" w14:font="MS Gothic"/>
                  <w14:uncheckedState w14:val="2610" w14:font="MS Gothic"/>
                </w14:checkbox>
              </w:sdtPr>
              <w:sdtContent>
                <w:r w:rsidRPr="004F6FA5">
                  <w:rPr>
                    <w:rFonts w:ascii="Segoe UI Symbol" w:hAnsi="Segoe UI Symbol" w:eastAsia="MS Gothic" w:cs="Segoe UI Symbol"/>
                  </w:rPr>
                  <w:t>☐</w:t>
                </w:r>
              </w:sdtContent>
            </w:sdt>
          </w:p>
        </w:tc>
      </w:tr>
      <w:tr w:rsidR="00A2161F" w:rsidTr="00544DFC" w14:paraId="4F374B5E" w14:textId="77777777">
        <w:tc>
          <w:tcPr>
            <w:tcW w:w="493" w:type="dxa"/>
          </w:tcPr>
          <w:p w:rsidRPr="004F6FA5" w:rsidR="00A2161F" w:rsidP="00FD38C8" w:rsidRDefault="009F6FFD" w14:paraId="750A0477" w14:textId="757AD037">
            <w:pPr>
              <w:rPr>
                <w:rFonts w:asciiTheme="majorHAnsi" w:hAnsiTheme="majorHAnsi"/>
              </w:rPr>
            </w:pPr>
            <w:r w:rsidRPr="004F6FA5">
              <w:rPr>
                <w:rFonts w:asciiTheme="majorHAnsi" w:hAnsiTheme="majorHAnsi"/>
              </w:rPr>
              <w:t>2.</w:t>
            </w:r>
          </w:p>
        </w:tc>
        <w:tc>
          <w:tcPr>
            <w:tcW w:w="7157" w:type="dxa"/>
          </w:tcPr>
          <w:p w:rsidR="00A2161F" w:rsidP="00FD38C8" w:rsidRDefault="004F6FA5" w14:paraId="14CC425A" w14:textId="77777777">
            <w:pPr>
              <w:rPr>
                <w:rStyle w:val="eop"/>
                <w:rFonts w:cs="Segoe UI" w:asciiTheme="majorHAnsi" w:hAnsiTheme="majorHAnsi"/>
              </w:rPr>
            </w:pPr>
            <w:r w:rsidRPr="004F6FA5">
              <w:rPr>
                <w:rStyle w:val="normaltextrun"/>
                <w:rFonts w:cs="Segoe UI" w:asciiTheme="majorHAnsi" w:hAnsiTheme="majorHAnsi"/>
              </w:rPr>
              <w:t>Able to design and carry out research, service evaluations and audit (Standard 1.2). </w:t>
            </w:r>
            <w:r w:rsidRPr="004F6FA5">
              <w:rPr>
                <w:rStyle w:val="eop"/>
                <w:rFonts w:cs="Segoe UI" w:asciiTheme="majorHAnsi" w:hAnsiTheme="majorHAnsi"/>
              </w:rPr>
              <w:t> </w:t>
            </w:r>
          </w:p>
          <w:p w:rsidRPr="004F6FA5" w:rsidR="004F6FA5" w:rsidP="00FD38C8" w:rsidRDefault="004F6FA5" w14:paraId="1C5A4F48" w14:textId="65D0C2C1">
            <w:pPr>
              <w:rPr>
                <w:rFonts w:asciiTheme="majorHAnsi" w:hAnsiTheme="majorHAnsi"/>
              </w:rPr>
            </w:pPr>
          </w:p>
        </w:tc>
        <w:tc>
          <w:tcPr>
            <w:tcW w:w="1366" w:type="dxa"/>
          </w:tcPr>
          <w:p w:rsidRPr="004F6FA5" w:rsidR="00A2161F" w:rsidP="00FD38C8" w:rsidRDefault="009F6FFD" w14:paraId="4FA02EFC" w14:textId="0C2638F8">
            <w:pPr>
              <w:rPr>
                <w:rFonts w:asciiTheme="majorHAnsi" w:hAnsiTheme="majorHAnsi"/>
              </w:rPr>
            </w:pPr>
            <w:sdt>
              <w:sdtPr>
                <w:rPr>
                  <w:rFonts w:asciiTheme="majorHAnsi" w:hAnsiTheme="majorHAnsi"/>
                </w:rPr>
                <w:id w:val="427633309"/>
                <w14:checkbox>
                  <w14:checked w14:val="0"/>
                  <w14:checkedState w14:val="2612" w14:font="MS Gothic"/>
                  <w14:uncheckedState w14:val="2610" w14:font="MS Gothic"/>
                </w14:checkbox>
              </w:sdtPr>
              <w:sdtContent>
                <w:r w:rsidRPr="004F6FA5">
                  <w:rPr>
                    <w:rFonts w:ascii="Segoe UI Symbol" w:hAnsi="Segoe UI Symbol" w:eastAsia="MS Gothic" w:cs="Segoe UI Symbol"/>
                  </w:rPr>
                  <w:t>☐</w:t>
                </w:r>
              </w:sdtContent>
            </w:sdt>
          </w:p>
        </w:tc>
      </w:tr>
      <w:tr w:rsidR="00A2161F" w:rsidTr="00544DFC" w14:paraId="2FB2331E" w14:textId="77777777">
        <w:tc>
          <w:tcPr>
            <w:tcW w:w="493" w:type="dxa"/>
          </w:tcPr>
          <w:p w:rsidRPr="004F6FA5" w:rsidR="00A2161F" w:rsidP="00FD38C8" w:rsidRDefault="009F6FFD" w14:paraId="17533C7A" w14:textId="0392C62B">
            <w:pPr>
              <w:rPr>
                <w:rFonts w:asciiTheme="majorHAnsi" w:hAnsiTheme="majorHAnsi"/>
              </w:rPr>
            </w:pPr>
            <w:r w:rsidRPr="004F6FA5">
              <w:rPr>
                <w:rFonts w:asciiTheme="majorHAnsi" w:hAnsiTheme="majorHAnsi"/>
              </w:rPr>
              <w:t>3.</w:t>
            </w:r>
          </w:p>
        </w:tc>
        <w:tc>
          <w:tcPr>
            <w:tcW w:w="7157" w:type="dxa"/>
          </w:tcPr>
          <w:p w:rsidR="00A2161F" w:rsidP="00FD38C8" w:rsidRDefault="004F6FA5" w14:paraId="756D7C94" w14:textId="77777777">
            <w:pPr>
              <w:rPr>
                <w:rStyle w:val="eop"/>
                <w:rFonts w:cs="Segoe UI" w:asciiTheme="majorHAnsi" w:hAnsiTheme="majorHAnsi"/>
              </w:rPr>
            </w:pPr>
            <w:r w:rsidRPr="004F6FA5">
              <w:rPr>
                <w:rStyle w:val="normaltextrun"/>
                <w:rFonts w:cs="Segoe UI" w:asciiTheme="majorHAnsi" w:hAnsiTheme="majorHAnsi"/>
              </w:rPr>
              <w:t>Able to work effectively whilst holding in mind alternative, competing explanations from the bio- psycho-social spectrum (Standard 1.5).</w:t>
            </w:r>
            <w:r w:rsidRPr="004F6FA5">
              <w:rPr>
                <w:rStyle w:val="eop"/>
                <w:rFonts w:cs="Segoe UI" w:asciiTheme="majorHAnsi" w:hAnsiTheme="majorHAnsi"/>
              </w:rPr>
              <w:t> </w:t>
            </w:r>
          </w:p>
          <w:p w:rsidRPr="004F6FA5" w:rsidR="004F6FA5" w:rsidP="00FD38C8" w:rsidRDefault="004F6FA5" w14:paraId="6F43DA4D" w14:textId="5FC721ED">
            <w:pPr>
              <w:rPr>
                <w:rFonts w:asciiTheme="majorHAnsi" w:hAnsiTheme="majorHAnsi"/>
              </w:rPr>
            </w:pPr>
          </w:p>
        </w:tc>
        <w:tc>
          <w:tcPr>
            <w:tcW w:w="1366" w:type="dxa"/>
          </w:tcPr>
          <w:p w:rsidRPr="004F6FA5" w:rsidR="00A2161F" w:rsidP="00FD38C8" w:rsidRDefault="009F6FFD" w14:paraId="191AAED7" w14:textId="470DC5DC">
            <w:pPr>
              <w:rPr>
                <w:rFonts w:asciiTheme="majorHAnsi" w:hAnsiTheme="majorHAnsi"/>
              </w:rPr>
            </w:pPr>
            <w:sdt>
              <w:sdtPr>
                <w:rPr>
                  <w:rFonts w:asciiTheme="majorHAnsi" w:hAnsiTheme="majorHAnsi"/>
                </w:rPr>
                <w:id w:val="1657331377"/>
                <w14:checkbox>
                  <w14:checked w14:val="0"/>
                  <w14:checkedState w14:val="2612" w14:font="MS Gothic"/>
                  <w14:uncheckedState w14:val="2610" w14:font="MS Gothic"/>
                </w14:checkbox>
              </w:sdtPr>
              <w:sdtContent>
                <w:r w:rsidRPr="004F6FA5">
                  <w:rPr>
                    <w:rFonts w:ascii="Segoe UI Symbol" w:hAnsi="Segoe UI Symbol" w:eastAsia="MS Gothic" w:cs="Segoe UI Symbol"/>
                  </w:rPr>
                  <w:t>☐</w:t>
                </w:r>
              </w:sdtContent>
            </w:sdt>
          </w:p>
        </w:tc>
      </w:tr>
      <w:tr w:rsidR="00A2161F" w:rsidTr="00544DFC" w14:paraId="406988B0" w14:textId="77777777">
        <w:tc>
          <w:tcPr>
            <w:tcW w:w="493" w:type="dxa"/>
          </w:tcPr>
          <w:p w:rsidRPr="004F6FA5" w:rsidR="00A2161F" w:rsidP="00FD38C8" w:rsidRDefault="009F6FFD" w14:paraId="625FC489" w14:textId="30C92096">
            <w:pPr>
              <w:rPr>
                <w:rFonts w:asciiTheme="majorHAnsi" w:hAnsiTheme="majorHAnsi"/>
              </w:rPr>
            </w:pPr>
            <w:r w:rsidRPr="004F6FA5">
              <w:rPr>
                <w:rFonts w:asciiTheme="majorHAnsi" w:hAnsiTheme="majorHAnsi"/>
              </w:rPr>
              <w:t>4.</w:t>
            </w:r>
          </w:p>
        </w:tc>
        <w:tc>
          <w:tcPr>
            <w:tcW w:w="7157" w:type="dxa"/>
          </w:tcPr>
          <w:p w:rsidR="00A2161F" w:rsidP="00FD38C8" w:rsidRDefault="004F6FA5" w14:paraId="3763DC4B" w14:textId="77777777">
            <w:pPr>
              <w:rPr>
                <w:rStyle w:val="eop"/>
                <w:rFonts w:cs="Segoe UI" w:asciiTheme="majorHAnsi" w:hAnsiTheme="majorHAnsi"/>
              </w:rPr>
            </w:pPr>
            <w:r w:rsidRPr="004F6FA5">
              <w:rPr>
                <w:rStyle w:val="normaltextrun"/>
                <w:rFonts w:cs="Segoe UI" w:asciiTheme="majorHAnsi" w:hAnsiTheme="majorHAnsi"/>
              </w:rPr>
              <w:t>Able to make judgements on complex issues, often in the absence of complete information (Standard 1.6). </w:t>
            </w:r>
            <w:r w:rsidRPr="004F6FA5">
              <w:rPr>
                <w:rStyle w:val="eop"/>
                <w:rFonts w:cs="Segoe UI" w:asciiTheme="majorHAnsi" w:hAnsiTheme="majorHAnsi"/>
              </w:rPr>
              <w:t> </w:t>
            </w:r>
          </w:p>
          <w:p w:rsidRPr="004F6FA5" w:rsidR="004F6FA5" w:rsidP="00FD38C8" w:rsidRDefault="004F6FA5" w14:paraId="0F03B648" w14:textId="045120CC">
            <w:pPr>
              <w:rPr>
                <w:rFonts w:asciiTheme="majorHAnsi" w:hAnsiTheme="majorHAnsi"/>
              </w:rPr>
            </w:pPr>
          </w:p>
        </w:tc>
        <w:tc>
          <w:tcPr>
            <w:tcW w:w="1366" w:type="dxa"/>
          </w:tcPr>
          <w:p w:rsidRPr="004F6FA5" w:rsidR="00A2161F" w:rsidP="00FD38C8" w:rsidRDefault="009F6FFD" w14:paraId="1C749AF6" w14:textId="30A3A8B3">
            <w:pPr>
              <w:rPr>
                <w:rFonts w:asciiTheme="majorHAnsi" w:hAnsiTheme="majorHAnsi"/>
              </w:rPr>
            </w:pPr>
            <w:sdt>
              <w:sdtPr>
                <w:rPr>
                  <w:rFonts w:asciiTheme="majorHAnsi" w:hAnsiTheme="majorHAnsi"/>
                </w:rPr>
                <w:id w:val="-321425119"/>
                <w14:checkbox>
                  <w14:checked w14:val="0"/>
                  <w14:checkedState w14:val="2612" w14:font="MS Gothic"/>
                  <w14:uncheckedState w14:val="2610" w14:font="MS Gothic"/>
                </w14:checkbox>
              </w:sdtPr>
              <w:sdtContent>
                <w:r w:rsidRPr="004F6FA5">
                  <w:rPr>
                    <w:rFonts w:ascii="Segoe UI Symbol" w:hAnsi="Segoe UI Symbol" w:eastAsia="MS Gothic" w:cs="Segoe UI Symbol"/>
                  </w:rPr>
                  <w:t>☐</w:t>
                </w:r>
              </w:sdtContent>
            </w:sdt>
          </w:p>
        </w:tc>
      </w:tr>
      <w:tr w:rsidR="00A2161F" w:rsidTr="00544DFC" w14:paraId="361EA7D3" w14:textId="77777777">
        <w:tc>
          <w:tcPr>
            <w:tcW w:w="493" w:type="dxa"/>
          </w:tcPr>
          <w:p w:rsidRPr="004F6FA5" w:rsidR="00A2161F" w:rsidP="00FD38C8" w:rsidRDefault="009F6FFD" w14:paraId="2BADA00E" w14:textId="2EF3E07A">
            <w:pPr>
              <w:rPr>
                <w:rFonts w:asciiTheme="majorHAnsi" w:hAnsiTheme="majorHAnsi"/>
              </w:rPr>
            </w:pPr>
            <w:r w:rsidRPr="004F6FA5">
              <w:rPr>
                <w:rFonts w:asciiTheme="majorHAnsi" w:hAnsiTheme="majorHAnsi"/>
              </w:rPr>
              <w:t>5.</w:t>
            </w:r>
          </w:p>
        </w:tc>
        <w:tc>
          <w:tcPr>
            <w:tcW w:w="7157" w:type="dxa"/>
          </w:tcPr>
          <w:p w:rsidRPr="004F6FA5" w:rsidR="009F6FFD" w:rsidP="009F6FFD" w:rsidRDefault="009F6FFD" w14:paraId="77BA2D8A" w14:textId="77777777">
            <w:pPr>
              <w:pStyle w:val="paragraph"/>
              <w:shd w:val="clear" w:color="auto" w:fill="FFFFFF"/>
              <w:spacing w:before="0" w:beforeAutospacing="0" w:after="0" w:afterAutospacing="0"/>
              <w:textAlignment w:val="baseline"/>
              <w:rPr>
                <w:rFonts w:cs="Segoe UI" w:asciiTheme="majorHAnsi" w:hAnsiTheme="majorHAnsi"/>
                <w:sz w:val="22"/>
                <w:szCs w:val="22"/>
              </w:rPr>
            </w:pPr>
            <w:r w:rsidRPr="004F6FA5">
              <w:rPr>
                <w:rStyle w:val="normaltextrun"/>
                <w:rFonts w:cs="Segoe UI" w:asciiTheme="majorHAnsi" w:hAnsiTheme="majorHAnsi"/>
                <w:sz w:val="22"/>
                <w:szCs w:val="22"/>
              </w:rPr>
              <w:t>Able to choose, use and interpret a broad range of assessment methods appropriate to the client and service delivery system in which the assessment takes place and to the intervention which is likely to be required (Standard 2.5). </w:t>
            </w:r>
            <w:r w:rsidRPr="004F6FA5">
              <w:rPr>
                <w:rStyle w:val="eop"/>
                <w:rFonts w:cs="Segoe UI" w:asciiTheme="majorHAnsi" w:hAnsiTheme="majorHAnsi"/>
                <w:sz w:val="22"/>
                <w:szCs w:val="22"/>
              </w:rPr>
              <w:t> </w:t>
            </w:r>
          </w:p>
          <w:p w:rsidRPr="004F6FA5" w:rsidR="00A2161F" w:rsidP="00FD38C8" w:rsidRDefault="00A2161F" w14:paraId="3EE203F1" w14:textId="77777777">
            <w:pPr>
              <w:rPr>
                <w:rFonts w:asciiTheme="majorHAnsi" w:hAnsiTheme="majorHAnsi"/>
              </w:rPr>
            </w:pPr>
          </w:p>
        </w:tc>
        <w:tc>
          <w:tcPr>
            <w:tcW w:w="1366" w:type="dxa"/>
          </w:tcPr>
          <w:p w:rsidRPr="004F6FA5" w:rsidR="00A2161F" w:rsidP="00FD38C8" w:rsidRDefault="009F6FFD" w14:paraId="7FBDF9A2" w14:textId="1717B797">
            <w:pPr>
              <w:rPr>
                <w:rFonts w:asciiTheme="majorHAnsi" w:hAnsiTheme="majorHAnsi"/>
              </w:rPr>
            </w:pPr>
            <w:sdt>
              <w:sdtPr>
                <w:rPr>
                  <w:rFonts w:asciiTheme="majorHAnsi" w:hAnsiTheme="majorHAnsi"/>
                </w:rPr>
                <w:id w:val="588736466"/>
                <w14:checkbox>
                  <w14:checked w14:val="0"/>
                  <w14:checkedState w14:val="2612" w14:font="MS Gothic"/>
                  <w14:uncheckedState w14:val="2610" w14:font="MS Gothic"/>
                </w14:checkbox>
              </w:sdtPr>
              <w:sdtContent>
                <w:r w:rsidRPr="004F6FA5">
                  <w:rPr>
                    <w:rFonts w:ascii="Segoe UI Symbol" w:hAnsi="Segoe UI Symbol" w:eastAsia="MS Gothic" w:cs="Segoe UI Symbol"/>
                  </w:rPr>
                  <w:t>☐</w:t>
                </w:r>
              </w:sdtContent>
            </w:sdt>
          </w:p>
        </w:tc>
      </w:tr>
      <w:tr w:rsidR="00A2161F" w:rsidTr="00544DFC" w14:paraId="0B7EA2B4" w14:textId="77777777">
        <w:tc>
          <w:tcPr>
            <w:tcW w:w="493" w:type="dxa"/>
          </w:tcPr>
          <w:p w:rsidRPr="004F6FA5" w:rsidR="00A2161F" w:rsidP="00FD38C8" w:rsidRDefault="009F6FFD" w14:paraId="511919C0" w14:textId="5CF774D2">
            <w:pPr>
              <w:rPr>
                <w:rFonts w:asciiTheme="majorHAnsi" w:hAnsiTheme="majorHAnsi"/>
              </w:rPr>
            </w:pPr>
            <w:r w:rsidRPr="004F6FA5">
              <w:rPr>
                <w:rFonts w:asciiTheme="majorHAnsi" w:hAnsiTheme="majorHAnsi"/>
              </w:rPr>
              <w:t>6.</w:t>
            </w:r>
          </w:p>
        </w:tc>
        <w:tc>
          <w:tcPr>
            <w:tcW w:w="7157" w:type="dxa"/>
          </w:tcPr>
          <w:p w:rsidR="00A2161F" w:rsidP="00FD38C8" w:rsidRDefault="009F6FFD" w14:paraId="62924334" w14:textId="77777777">
            <w:pPr>
              <w:rPr>
                <w:rStyle w:val="eop"/>
                <w:rFonts w:cs="Segoe UI" w:asciiTheme="majorHAnsi" w:hAnsiTheme="majorHAnsi"/>
              </w:rPr>
            </w:pPr>
            <w:r w:rsidRPr="004F6FA5">
              <w:rPr>
                <w:rStyle w:val="normaltextrun"/>
                <w:rFonts w:cs="Segoe UI" w:asciiTheme="majorHAnsi" w:hAnsiTheme="majorHAnsi"/>
              </w:rPr>
              <w:t>Able to develop formulations to integrate assessments findings and psychological and neuropsychological theory (Standard 2.7). </w:t>
            </w:r>
            <w:r w:rsidRPr="004F6FA5">
              <w:rPr>
                <w:rStyle w:val="eop"/>
                <w:rFonts w:cs="Segoe UI" w:asciiTheme="majorHAnsi" w:hAnsiTheme="majorHAnsi"/>
              </w:rPr>
              <w:t> </w:t>
            </w:r>
          </w:p>
          <w:p w:rsidRPr="004F6FA5" w:rsidR="004F6FA5" w:rsidP="00FD38C8" w:rsidRDefault="004F6FA5" w14:paraId="4AFDBB42" w14:textId="0D070D34">
            <w:pPr>
              <w:rPr>
                <w:rFonts w:asciiTheme="majorHAnsi" w:hAnsiTheme="majorHAnsi"/>
              </w:rPr>
            </w:pPr>
          </w:p>
        </w:tc>
        <w:tc>
          <w:tcPr>
            <w:tcW w:w="1366" w:type="dxa"/>
          </w:tcPr>
          <w:p w:rsidRPr="004F6FA5" w:rsidR="00A2161F" w:rsidP="00FD38C8" w:rsidRDefault="009F6FFD" w14:paraId="0305AB05" w14:textId="546466AF">
            <w:pPr>
              <w:rPr>
                <w:rFonts w:asciiTheme="majorHAnsi" w:hAnsiTheme="majorHAnsi"/>
              </w:rPr>
            </w:pPr>
            <w:sdt>
              <w:sdtPr>
                <w:rPr>
                  <w:rFonts w:asciiTheme="majorHAnsi" w:hAnsiTheme="majorHAnsi"/>
                </w:rPr>
                <w:id w:val="131451231"/>
                <w14:checkbox>
                  <w14:checked w14:val="0"/>
                  <w14:checkedState w14:val="2612" w14:font="MS Gothic"/>
                  <w14:uncheckedState w14:val="2610" w14:font="MS Gothic"/>
                </w14:checkbox>
              </w:sdtPr>
              <w:sdtContent>
                <w:r w:rsidRPr="004F6FA5">
                  <w:rPr>
                    <w:rFonts w:ascii="Segoe UI Symbol" w:hAnsi="Segoe UI Symbol" w:eastAsia="MS Gothic" w:cs="Segoe UI Symbol"/>
                  </w:rPr>
                  <w:t>☐</w:t>
                </w:r>
              </w:sdtContent>
            </w:sdt>
          </w:p>
        </w:tc>
      </w:tr>
      <w:tr w:rsidR="00A2161F" w:rsidTr="00544DFC" w14:paraId="42A6B3F5" w14:textId="77777777">
        <w:tc>
          <w:tcPr>
            <w:tcW w:w="493" w:type="dxa"/>
          </w:tcPr>
          <w:p w:rsidRPr="004F6FA5" w:rsidR="00A2161F" w:rsidP="00FD38C8" w:rsidRDefault="009F6FFD" w14:paraId="14349C9A" w14:textId="1C498797">
            <w:pPr>
              <w:rPr>
                <w:rFonts w:asciiTheme="majorHAnsi" w:hAnsiTheme="majorHAnsi"/>
              </w:rPr>
            </w:pPr>
            <w:r w:rsidRPr="004F6FA5">
              <w:rPr>
                <w:rFonts w:asciiTheme="majorHAnsi" w:hAnsiTheme="majorHAnsi"/>
              </w:rPr>
              <w:t>7.</w:t>
            </w:r>
          </w:p>
        </w:tc>
        <w:tc>
          <w:tcPr>
            <w:tcW w:w="7157" w:type="dxa"/>
          </w:tcPr>
          <w:p w:rsidR="00A2161F" w:rsidP="00FD38C8" w:rsidRDefault="009F6FFD" w14:paraId="6219C667" w14:textId="77777777">
            <w:pPr>
              <w:rPr>
                <w:rStyle w:val="eop"/>
                <w:rFonts w:cs="Segoe UI" w:asciiTheme="majorHAnsi" w:hAnsiTheme="majorHAnsi"/>
              </w:rPr>
            </w:pPr>
            <w:r w:rsidRPr="004F6FA5">
              <w:rPr>
                <w:rStyle w:val="normaltextrun"/>
                <w:rFonts w:cs="Segoe UI" w:asciiTheme="majorHAnsi" w:hAnsiTheme="majorHAnsi"/>
              </w:rPr>
              <w:t>Able to recognise when intervention is inappropriate, or unhelpful, and communicating this sensitively (Standard 2.9). </w:t>
            </w:r>
            <w:r w:rsidRPr="004F6FA5">
              <w:rPr>
                <w:rStyle w:val="eop"/>
                <w:rFonts w:cs="Segoe UI" w:asciiTheme="majorHAnsi" w:hAnsiTheme="majorHAnsi"/>
              </w:rPr>
              <w:t> </w:t>
            </w:r>
          </w:p>
          <w:p w:rsidRPr="004F6FA5" w:rsidR="004F6FA5" w:rsidP="00FD38C8" w:rsidRDefault="004F6FA5" w14:paraId="416875CF" w14:textId="20290E64">
            <w:pPr>
              <w:rPr>
                <w:rFonts w:asciiTheme="majorHAnsi" w:hAnsiTheme="majorHAnsi"/>
              </w:rPr>
            </w:pPr>
          </w:p>
        </w:tc>
        <w:tc>
          <w:tcPr>
            <w:tcW w:w="1366" w:type="dxa"/>
          </w:tcPr>
          <w:p w:rsidRPr="004F6FA5" w:rsidR="00A2161F" w:rsidP="00FD38C8" w:rsidRDefault="009F6FFD" w14:paraId="5F7C67CB" w14:textId="69D9E95D">
            <w:pPr>
              <w:rPr>
                <w:rFonts w:asciiTheme="majorHAnsi" w:hAnsiTheme="majorHAnsi"/>
              </w:rPr>
            </w:pPr>
            <w:sdt>
              <w:sdtPr>
                <w:rPr>
                  <w:rFonts w:asciiTheme="majorHAnsi" w:hAnsiTheme="majorHAnsi"/>
                </w:rPr>
                <w:id w:val="1434943908"/>
                <w14:checkbox>
                  <w14:checked w14:val="0"/>
                  <w14:checkedState w14:val="2612" w14:font="MS Gothic"/>
                  <w14:uncheckedState w14:val="2610" w14:font="MS Gothic"/>
                </w14:checkbox>
              </w:sdtPr>
              <w:sdtContent>
                <w:r w:rsidRPr="004F6FA5">
                  <w:rPr>
                    <w:rFonts w:ascii="Segoe UI Symbol" w:hAnsi="Segoe UI Symbol" w:eastAsia="MS Gothic" w:cs="Segoe UI Symbol"/>
                  </w:rPr>
                  <w:t>☐</w:t>
                </w:r>
              </w:sdtContent>
            </w:sdt>
          </w:p>
        </w:tc>
      </w:tr>
      <w:tr w:rsidR="00A2161F" w:rsidTr="00544DFC" w14:paraId="337CAEC4" w14:textId="77777777">
        <w:tc>
          <w:tcPr>
            <w:tcW w:w="493" w:type="dxa"/>
          </w:tcPr>
          <w:p w:rsidRPr="004F6FA5" w:rsidR="00A2161F" w:rsidP="00FD38C8" w:rsidRDefault="009F6FFD" w14:paraId="10529659" w14:textId="4BE36387">
            <w:pPr>
              <w:rPr>
                <w:rFonts w:asciiTheme="majorHAnsi" w:hAnsiTheme="majorHAnsi"/>
              </w:rPr>
            </w:pPr>
            <w:r w:rsidRPr="004F6FA5">
              <w:rPr>
                <w:rFonts w:asciiTheme="majorHAnsi" w:hAnsiTheme="majorHAnsi"/>
              </w:rPr>
              <w:t>8.</w:t>
            </w:r>
          </w:p>
        </w:tc>
        <w:tc>
          <w:tcPr>
            <w:tcW w:w="7157" w:type="dxa"/>
          </w:tcPr>
          <w:p w:rsidR="00A2161F" w:rsidP="00FD38C8" w:rsidRDefault="009F6FFD" w14:paraId="6FFF40BD" w14:textId="3A8E135C">
            <w:pPr>
              <w:rPr>
                <w:rStyle w:val="eop"/>
                <w:rFonts w:cs="Segoe UI" w:asciiTheme="majorHAnsi" w:hAnsiTheme="majorHAnsi"/>
              </w:rPr>
            </w:pPr>
            <w:r w:rsidRPr="004F6FA5">
              <w:rPr>
                <w:rStyle w:val="normaltextrun"/>
                <w:rFonts w:cs="Segoe UI" w:asciiTheme="majorHAnsi" w:hAnsiTheme="majorHAnsi"/>
              </w:rPr>
              <w:t>Understands factors which must be considered when selecting an intervention and monitoring the expected outcome (Standard 2.11). </w:t>
            </w:r>
            <w:r w:rsidRPr="004F6FA5">
              <w:rPr>
                <w:rStyle w:val="eop"/>
                <w:rFonts w:cs="Segoe UI" w:asciiTheme="majorHAnsi" w:hAnsiTheme="majorHAnsi"/>
              </w:rPr>
              <w:t> </w:t>
            </w:r>
          </w:p>
          <w:p w:rsidRPr="004F6FA5" w:rsidR="004F6FA5" w:rsidP="00FD38C8" w:rsidRDefault="004F6FA5" w14:paraId="4B5E8DBA" w14:textId="11DD407A">
            <w:pPr>
              <w:rPr>
                <w:rFonts w:asciiTheme="majorHAnsi" w:hAnsiTheme="majorHAnsi"/>
              </w:rPr>
            </w:pPr>
          </w:p>
        </w:tc>
        <w:tc>
          <w:tcPr>
            <w:tcW w:w="1366" w:type="dxa"/>
          </w:tcPr>
          <w:p w:rsidRPr="004F6FA5" w:rsidR="00A2161F" w:rsidP="00FD38C8" w:rsidRDefault="009F6FFD" w14:paraId="056FF7A9" w14:textId="15F08ACA">
            <w:pPr>
              <w:rPr>
                <w:rFonts w:asciiTheme="majorHAnsi" w:hAnsiTheme="majorHAnsi"/>
              </w:rPr>
            </w:pPr>
            <w:sdt>
              <w:sdtPr>
                <w:rPr>
                  <w:rFonts w:asciiTheme="majorHAnsi" w:hAnsiTheme="majorHAnsi"/>
                </w:rPr>
                <w:id w:val="-810252472"/>
                <w14:checkbox>
                  <w14:checked w14:val="0"/>
                  <w14:checkedState w14:val="2612" w14:font="MS Gothic"/>
                  <w14:uncheckedState w14:val="2610" w14:font="MS Gothic"/>
                </w14:checkbox>
              </w:sdtPr>
              <w:sdtContent>
                <w:r w:rsidRPr="004F6FA5">
                  <w:rPr>
                    <w:rFonts w:ascii="Segoe UI Symbol" w:hAnsi="Segoe UI Symbol" w:eastAsia="MS Gothic" w:cs="Segoe UI Symbol"/>
                  </w:rPr>
                  <w:t>☐</w:t>
                </w:r>
              </w:sdtContent>
            </w:sdt>
          </w:p>
        </w:tc>
      </w:tr>
      <w:tr w:rsidR="00A2161F" w:rsidTr="00544DFC" w14:paraId="5458C7A9" w14:textId="77777777">
        <w:tc>
          <w:tcPr>
            <w:tcW w:w="493" w:type="dxa"/>
          </w:tcPr>
          <w:p w:rsidRPr="004F6FA5" w:rsidR="00A2161F" w:rsidP="00FD38C8" w:rsidRDefault="009F6FFD" w14:paraId="51495AA9" w14:textId="6D6E0A4E">
            <w:pPr>
              <w:rPr>
                <w:rFonts w:asciiTheme="majorHAnsi" w:hAnsiTheme="majorHAnsi"/>
              </w:rPr>
            </w:pPr>
            <w:r w:rsidRPr="004F6FA5">
              <w:rPr>
                <w:rFonts w:asciiTheme="majorHAnsi" w:hAnsiTheme="majorHAnsi"/>
              </w:rPr>
              <w:t>9.</w:t>
            </w:r>
          </w:p>
        </w:tc>
        <w:tc>
          <w:tcPr>
            <w:tcW w:w="7157" w:type="dxa"/>
          </w:tcPr>
          <w:p w:rsidR="00A2161F" w:rsidP="00FD38C8" w:rsidRDefault="009F6FFD" w14:paraId="6EE0E82B" w14:textId="77777777">
            <w:pPr>
              <w:rPr>
                <w:rStyle w:val="eop"/>
                <w:rFonts w:cs="Segoe UI" w:asciiTheme="majorHAnsi" w:hAnsiTheme="majorHAnsi"/>
              </w:rPr>
            </w:pPr>
            <w:r w:rsidRPr="004F6FA5">
              <w:rPr>
                <w:rStyle w:val="normaltextrun"/>
                <w:rFonts w:cs="Segoe UI" w:asciiTheme="majorHAnsi" w:hAnsiTheme="majorHAnsi"/>
              </w:rPr>
              <w:t>Understands procedures by which the progress of and outcomes of an intervention may be assessed (Standard 2.12). </w:t>
            </w:r>
            <w:r w:rsidRPr="004F6FA5">
              <w:rPr>
                <w:rStyle w:val="eop"/>
                <w:rFonts w:cs="Segoe UI" w:asciiTheme="majorHAnsi" w:hAnsiTheme="majorHAnsi"/>
              </w:rPr>
              <w:t> </w:t>
            </w:r>
          </w:p>
          <w:p w:rsidRPr="004F6FA5" w:rsidR="005F7080" w:rsidP="00FD38C8" w:rsidRDefault="005F7080" w14:paraId="0627EDD9" w14:textId="778971D5">
            <w:pPr>
              <w:rPr>
                <w:rFonts w:asciiTheme="majorHAnsi" w:hAnsiTheme="majorHAnsi"/>
              </w:rPr>
            </w:pPr>
          </w:p>
        </w:tc>
        <w:tc>
          <w:tcPr>
            <w:tcW w:w="1366" w:type="dxa"/>
          </w:tcPr>
          <w:p w:rsidRPr="004F6FA5" w:rsidR="00A2161F" w:rsidP="00FD38C8" w:rsidRDefault="009F6FFD" w14:paraId="44DC5940" w14:textId="0D4835FA">
            <w:pPr>
              <w:rPr>
                <w:rFonts w:asciiTheme="majorHAnsi" w:hAnsiTheme="majorHAnsi"/>
              </w:rPr>
            </w:pPr>
            <w:sdt>
              <w:sdtPr>
                <w:rPr>
                  <w:rFonts w:asciiTheme="majorHAnsi" w:hAnsiTheme="majorHAnsi"/>
                </w:rPr>
                <w:id w:val="-1877916698"/>
                <w14:checkbox>
                  <w14:checked w14:val="0"/>
                  <w14:checkedState w14:val="2612" w14:font="MS Gothic"/>
                  <w14:uncheckedState w14:val="2610" w14:font="MS Gothic"/>
                </w14:checkbox>
              </w:sdtPr>
              <w:sdtContent>
                <w:r w:rsidRPr="004F6FA5">
                  <w:rPr>
                    <w:rFonts w:ascii="Segoe UI Symbol" w:hAnsi="Segoe UI Symbol" w:eastAsia="MS Gothic" w:cs="Segoe UI Symbol"/>
                  </w:rPr>
                  <w:t>☐</w:t>
                </w:r>
              </w:sdtContent>
            </w:sdt>
          </w:p>
        </w:tc>
      </w:tr>
      <w:tr w:rsidR="00A2161F" w:rsidTr="00544DFC" w14:paraId="3618B2F7" w14:textId="77777777">
        <w:tc>
          <w:tcPr>
            <w:tcW w:w="493" w:type="dxa"/>
          </w:tcPr>
          <w:p w:rsidRPr="004F6FA5" w:rsidR="00A2161F" w:rsidP="00FD38C8" w:rsidRDefault="009F6FFD" w14:paraId="6CF08F4F" w14:textId="318E517E">
            <w:pPr>
              <w:rPr>
                <w:rFonts w:asciiTheme="majorHAnsi" w:hAnsiTheme="majorHAnsi"/>
              </w:rPr>
            </w:pPr>
            <w:r w:rsidRPr="004F6FA5">
              <w:rPr>
                <w:rFonts w:asciiTheme="majorHAnsi" w:hAnsiTheme="majorHAnsi"/>
              </w:rPr>
              <w:t>10.</w:t>
            </w:r>
          </w:p>
        </w:tc>
        <w:tc>
          <w:tcPr>
            <w:tcW w:w="7157" w:type="dxa"/>
          </w:tcPr>
          <w:p w:rsidR="00A2161F" w:rsidP="00FD38C8" w:rsidRDefault="009F6FFD" w14:paraId="05EC24E3" w14:textId="77777777">
            <w:pPr>
              <w:rPr>
                <w:rStyle w:val="eop"/>
                <w:rFonts w:cs="Segoe UI" w:asciiTheme="majorHAnsi" w:hAnsiTheme="majorHAnsi"/>
              </w:rPr>
            </w:pPr>
            <w:r w:rsidRPr="004F6FA5">
              <w:rPr>
                <w:rStyle w:val="normaltextrun"/>
                <w:rFonts w:cs="Segoe UI" w:asciiTheme="majorHAnsi" w:hAnsiTheme="majorHAnsi"/>
              </w:rPr>
              <w:t>Able to demonstrate understanding of consultancy models and the contribution of consultancy to practice (Standard 3.4)</w:t>
            </w:r>
            <w:r w:rsidRPr="004F6FA5">
              <w:rPr>
                <w:rStyle w:val="eop"/>
                <w:rFonts w:cs="Segoe UI" w:asciiTheme="majorHAnsi" w:hAnsiTheme="majorHAnsi"/>
              </w:rPr>
              <w:t> </w:t>
            </w:r>
          </w:p>
          <w:p w:rsidRPr="004F6FA5" w:rsidR="005F7080" w:rsidP="00FD38C8" w:rsidRDefault="005F7080" w14:paraId="63B6BFA2" w14:textId="4537BA20">
            <w:pPr>
              <w:rPr>
                <w:rFonts w:asciiTheme="majorHAnsi" w:hAnsiTheme="majorHAnsi"/>
              </w:rPr>
            </w:pPr>
          </w:p>
        </w:tc>
        <w:tc>
          <w:tcPr>
            <w:tcW w:w="1366" w:type="dxa"/>
          </w:tcPr>
          <w:p w:rsidRPr="004F6FA5" w:rsidR="00A2161F" w:rsidP="00FD38C8" w:rsidRDefault="009F6FFD" w14:paraId="74E2A674" w14:textId="4C2AC24C">
            <w:pPr>
              <w:rPr>
                <w:rFonts w:asciiTheme="majorHAnsi" w:hAnsiTheme="majorHAnsi"/>
              </w:rPr>
            </w:pPr>
            <w:sdt>
              <w:sdtPr>
                <w:rPr>
                  <w:rFonts w:asciiTheme="majorHAnsi" w:hAnsiTheme="majorHAnsi"/>
                </w:rPr>
                <w:id w:val="1284926931"/>
                <w14:checkbox>
                  <w14:checked w14:val="0"/>
                  <w14:checkedState w14:val="2612" w14:font="MS Gothic"/>
                  <w14:uncheckedState w14:val="2610" w14:font="MS Gothic"/>
                </w14:checkbox>
              </w:sdtPr>
              <w:sdtContent>
                <w:r w:rsidRPr="004F6FA5">
                  <w:rPr>
                    <w:rFonts w:ascii="Segoe UI Symbol" w:hAnsi="Segoe UI Symbol" w:eastAsia="MS Gothic" w:cs="Segoe UI Symbol"/>
                  </w:rPr>
                  <w:t>☐</w:t>
                </w:r>
              </w:sdtContent>
            </w:sdt>
          </w:p>
        </w:tc>
      </w:tr>
    </w:tbl>
    <w:p w:rsidR="00882238" w:rsidP="00FD38C8" w:rsidRDefault="00882238" w14:paraId="3D6422EE" w14:textId="77777777"/>
    <w:p w:rsidR="00F2058F" w:rsidP="00FD38C8" w:rsidRDefault="00100438" w14:paraId="7B24B33D" w14:textId="77777777">
      <w:r>
        <w:t xml:space="preserve">Please give a brief description of how </w:t>
      </w:r>
      <w:r w:rsidR="00F2058F">
        <w:t>you have met the competencies listed above (~500 words)</w:t>
      </w:r>
    </w:p>
    <w:p w:rsidR="00F2058F" w:rsidP="00FD38C8" w:rsidRDefault="00F2058F" w14:paraId="1189541F" w14:textId="5C6CD744">
      <w:r>
        <w:pict w14:anchorId="568B39C6">
          <v:rect id="_x0000_i1027" style="width:0;height:1.5pt" o:hr="t" o:hrstd="t" o:hralign="center" fillcolor="#a0a0a0" stroked="f"/>
        </w:pict>
      </w:r>
    </w:p>
    <w:p w:rsidRPr="00FD38C8" w:rsidR="00882238" w:rsidP="00FD38C8" w:rsidRDefault="00882238" w14:paraId="0BAC0D44" w14:textId="49FD328E"/>
    <w:sectPr w:rsidRPr="00FD38C8" w:rsidR="00882238" w:rsidSect="007E420E">
      <w:headerReference w:type="default" r:id="rId11"/>
      <w:footerReference w:type="default" r:id="rId12"/>
      <w:pgSz w:w="11906" w:h="16838" w:orient="portrait"/>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2870" w:rsidP="000B3AB0" w:rsidRDefault="00BE2870" w14:paraId="54F46C4E" w14:textId="77777777">
      <w:pPr>
        <w:spacing w:after="0" w:line="240" w:lineRule="auto"/>
      </w:pPr>
      <w:r>
        <w:separator/>
      </w:r>
    </w:p>
  </w:endnote>
  <w:endnote w:type="continuationSeparator" w:id="0">
    <w:p w:rsidR="00BE2870" w:rsidP="000B3AB0" w:rsidRDefault="00BE2870" w14:paraId="54776E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647" w:rsidRDefault="00B63647" w14:paraId="4E907D9A" w14:textId="19F11569">
    <w:pPr>
      <w:pStyle w:val="Footer"/>
    </w:pPr>
    <w:r>
      <w:fldChar w:fldCharType="begin"/>
    </w:r>
    <w:r>
      <w:instrText xml:space="preserve"> PAGE  \* Arabic  \* MERGEFORMAT </w:instrText>
    </w:r>
    <w:r>
      <w:fldChar w:fldCharType="separate"/>
    </w:r>
    <w:r>
      <w:rPr>
        <w:noProof/>
      </w:rPr>
      <w:t>1</w:t>
    </w:r>
    <w:r>
      <w:fldChar w:fldCharType="end"/>
    </w:r>
    <w:r>
      <w:ptab w:alignment="right" w:relativeTo="margin" w:leader="none"/>
    </w:r>
    <w:r>
      <w:rPr>
        <w:noProof/>
      </w:rPr>
      <w:t xml:space="preserve"> </w:t>
    </w:r>
    <w:r w:rsidR="007E420E">
      <w:t>Generic Competencies form</w:t>
    </w:r>
  </w:p>
  <w:p w:rsidR="0047194C" w:rsidRDefault="0047194C" w14:paraId="5CB9D5C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2870" w:rsidP="000B3AB0" w:rsidRDefault="00BE2870" w14:paraId="0C926C1C" w14:textId="77777777">
      <w:pPr>
        <w:spacing w:after="0" w:line="240" w:lineRule="auto"/>
      </w:pPr>
      <w:r>
        <w:separator/>
      </w:r>
    </w:p>
  </w:footnote>
  <w:footnote w:type="continuationSeparator" w:id="0">
    <w:p w:rsidR="00BE2870" w:rsidP="000B3AB0" w:rsidRDefault="00BE2870" w14:paraId="7F6F89A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0B3AB0" w:rsidRDefault="000B3AB0" w14:paraId="335D9F08" w14:textId="28BE2A92">
    <w:pPr>
      <w:pStyle w:val="Header"/>
    </w:pPr>
  </w:p>
  <w:p w:rsidR="000B3AB0" w:rsidP="00B518AC" w:rsidRDefault="007E420E" w14:paraId="38286FD3" w14:textId="1192FD3C">
    <w:pPr>
      <w:pStyle w:val="Header"/>
      <w:jc w:val="right"/>
    </w:pPr>
    <w:r>
      <w:rPr>
        <w:noProof/>
      </w:rPr>
      <w:drawing>
        <wp:anchor distT="0" distB="0" distL="114300" distR="114300" simplePos="0" relativeHeight="251658240" behindDoc="0" locked="0" layoutInCell="1" allowOverlap="1" wp14:anchorId="42F9E9FF" wp14:editId="40E36402">
          <wp:simplePos x="0" y="0"/>
          <wp:positionH relativeFrom="margin">
            <wp:align>left</wp:align>
          </wp:positionH>
          <wp:positionV relativeFrom="paragraph">
            <wp:posOffset>250825</wp:posOffset>
          </wp:positionV>
          <wp:extent cx="1552353" cy="449573"/>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oB.png"/>
                  <pic:cNvPicPr/>
                </pic:nvPicPr>
                <pic:blipFill>
                  <a:blip r:embed="rId1">
                    <a:extLst>
                      <a:ext uri="{28A0092B-C50C-407E-A947-70E740481C1C}">
                        <a14:useLocalDpi xmlns:a14="http://schemas.microsoft.com/office/drawing/2010/main" val="0"/>
                      </a:ext>
                    </a:extLst>
                  </a:blip>
                  <a:stretch>
                    <a:fillRect/>
                  </a:stretch>
                </pic:blipFill>
                <pic:spPr>
                  <a:xfrm>
                    <a:off x="0" y="0"/>
                    <a:ext cx="1552353" cy="449573"/>
                  </a:xfrm>
                  <a:prstGeom prst="rect">
                    <a:avLst/>
                  </a:prstGeom>
                </pic:spPr>
              </pic:pic>
            </a:graphicData>
          </a:graphic>
          <wp14:sizeRelH relativeFrom="page">
            <wp14:pctWidth>0</wp14:pctWidth>
          </wp14:sizeRelH>
          <wp14:sizeRelV relativeFrom="page">
            <wp14:pctHeight>0</wp14:pctHeight>
          </wp14:sizeRelV>
        </wp:anchor>
      </w:drawing>
    </w:r>
    <w:r w:rsidR="00B518AC">
      <w:rPr>
        <w:noProof/>
      </w:rPr>
      <w:drawing>
        <wp:inline distT="0" distB="0" distL="0" distR="0" wp14:anchorId="4B4D9A8D" wp14:editId="63764BE8">
          <wp:extent cx="1640205" cy="86106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640205" cy="861060"/>
                  </a:xfrm>
                  <a:prstGeom prst="rect">
                    <a:avLst/>
                  </a:prstGeom>
                </pic:spPr>
              </pic:pic>
            </a:graphicData>
          </a:graphic>
        </wp:inline>
      </w:drawing>
    </w:r>
    <w:r w:rsidR="00176E8C">
      <w:rPr>
        <w:noProof/>
      </w:rPr>
      <w:drawing>
        <wp:anchor distT="0" distB="0" distL="114300" distR="114300" simplePos="0" relativeHeight="251659264" behindDoc="0" locked="0" layoutInCell="1" allowOverlap="1" wp14:anchorId="48B4EC9E" wp14:editId="67C0B7D9">
          <wp:simplePos x="0" y="0"/>
          <wp:positionH relativeFrom="margin">
            <wp:posOffset>7567886</wp:posOffset>
          </wp:positionH>
          <wp:positionV relativeFrom="paragraph">
            <wp:posOffset>110977</wp:posOffset>
          </wp:positionV>
          <wp:extent cx="1640330" cy="86123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BT_logo.jpg"/>
                  <pic:cNvPicPr/>
                </pic:nvPicPr>
                <pic:blipFill>
                  <a:blip r:embed="rId2">
                    <a:extLst>
                      <a:ext uri="{28A0092B-C50C-407E-A947-70E740481C1C}">
                        <a14:useLocalDpi xmlns:a14="http://schemas.microsoft.com/office/drawing/2010/main" val="0"/>
                      </a:ext>
                    </a:extLst>
                  </a:blip>
                  <a:stretch>
                    <a:fillRect/>
                  </a:stretch>
                </pic:blipFill>
                <pic:spPr>
                  <a:xfrm>
                    <a:off x="0" y="0"/>
                    <a:ext cx="1640330" cy="86123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6002D"/>
    <w:multiLevelType w:val="multilevel"/>
    <w:tmpl w:val="FE76A3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AC2063"/>
    <w:multiLevelType w:val="multilevel"/>
    <w:tmpl w:val="74348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71711"/>
    <w:multiLevelType w:val="multilevel"/>
    <w:tmpl w:val="3C74C1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A76D67"/>
    <w:multiLevelType w:val="multilevel"/>
    <w:tmpl w:val="C23038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52271"/>
    <w:multiLevelType w:val="multilevel"/>
    <w:tmpl w:val="FD3805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15452F"/>
    <w:multiLevelType w:val="multilevel"/>
    <w:tmpl w:val="B4D00A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5A4287"/>
    <w:multiLevelType w:val="multilevel"/>
    <w:tmpl w:val="ECE00B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817421"/>
    <w:multiLevelType w:val="multilevel"/>
    <w:tmpl w:val="4F6AF728"/>
    <w:lvl w:ilvl="0">
      <w:start w:val="1"/>
      <w:numFmt w:val="decimal"/>
      <w:lvlText w:val="%1."/>
      <w:lvlJc w:val="left"/>
      <w:pPr>
        <w:tabs>
          <w:tab w:val="num" w:pos="720"/>
        </w:tabs>
        <w:ind w:left="1361" w:hanging="1001"/>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34F96EF1"/>
    <w:multiLevelType w:val="multilevel"/>
    <w:tmpl w:val="D1DA1D4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717B02"/>
    <w:multiLevelType w:val="multilevel"/>
    <w:tmpl w:val="FD3805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2F2FD9"/>
    <w:multiLevelType w:val="multilevel"/>
    <w:tmpl w:val="B3F8B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5"/>
  </w:num>
  <w:num w:numId="4">
    <w:abstractNumId w:val="2"/>
  </w:num>
  <w:num w:numId="5">
    <w:abstractNumId w:val="4"/>
  </w:num>
  <w:num w:numId="6">
    <w:abstractNumId w:val="0"/>
  </w:num>
  <w:num w:numId="7">
    <w:abstractNumId w:val="3"/>
  </w:num>
  <w:num w:numId="8">
    <w:abstractNumId w:val="10"/>
  </w:num>
  <w:num w:numId="9">
    <w:abstractNumId w:val="8"/>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formsDesign/>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AB0"/>
    <w:rsid w:val="00011C12"/>
    <w:rsid w:val="00052C1C"/>
    <w:rsid w:val="00055191"/>
    <w:rsid w:val="000977CB"/>
    <w:rsid w:val="000B3AB0"/>
    <w:rsid w:val="000F0E1B"/>
    <w:rsid w:val="00100438"/>
    <w:rsid w:val="0010164D"/>
    <w:rsid w:val="00101986"/>
    <w:rsid w:val="001317C5"/>
    <w:rsid w:val="00176E8C"/>
    <w:rsid w:val="00196943"/>
    <w:rsid w:val="001E777B"/>
    <w:rsid w:val="00200537"/>
    <w:rsid w:val="00281334"/>
    <w:rsid w:val="002E14B6"/>
    <w:rsid w:val="002E3DA4"/>
    <w:rsid w:val="002F7FD4"/>
    <w:rsid w:val="00300A72"/>
    <w:rsid w:val="00324777"/>
    <w:rsid w:val="00375C49"/>
    <w:rsid w:val="003932F2"/>
    <w:rsid w:val="003E46F8"/>
    <w:rsid w:val="003E7D25"/>
    <w:rsid w:val="003F116D"/>
    <w:rsid w:val="00420412"/>
    <w:rsid w:val="0047194C"/>
    <w:rsid w:val="00483EE3"/>
    <w:rsid w:val="0049582B"/>
    <w:rsid w:val="004D0159"/>
    <w:rsid w:val="004F6FA5"/>
    <w:rsid w:val="005020D3"/>
    <w:rsid w:val="00520C07"/>
    <w:rsid w:val="00544DFC"/>
    <w:rsid w:val="005936D3"/>
    <w:rsid w:val="005A0634"/>
    <w:rsid w:val="005B0B76"/>
    <w:rsid w:val="005C348B"/>
    <w:rsid w:val="005D2521"/>
    <w:rsid w:val="005F7080"/>
    <w:rsid w:val="00650B14"/>
    <w:rsid w:val="00665D51"/>
    <w:rsid w:val="0067333A"/>
    <w:rsid w:val="006C1BF3"/>
    <w:rsid w:val="006E6E87"/>
    <w:rsid w:val="00724D18"/>
    <w:rsid w:val="007443B8"/>
    <w:rsid w:val="00752839"/>
    <w:rsid w:val="0076405C"/>
    <w:rsid w:val="007E420E"/>
    <w:rsid w:val="00882238"/>
    <w:rsid w:val="0088374F"/>
    <w:rsid w:val="008974D9"/>
    <w:rsid w:val="00897A7B"/>
    <w:rsid w:val="00900FCA"/>
    <w:rsid w:val="009336DD"/>
    <w:rsid w:val="00954DEC"/>
    <w:rsid w:val="00965585"/>
    <w:rsid w:val="00973045"/>
    <w:rsid w:val="00993644"/>
    <w:rsid w:val="009B7885"/>
    <w:rsid w:val="009C3297"/>
    <w:rsid w:val="009E76BC"/>
    <w:rsid w:val="009F01E9"/>
    <w:rsid w:val="009F6FFD"/>
    <w:rsid w:val="00A03624"/>
    <w:rsid w:val="00A17232"/>
    <w:rsid w:val="00A2161F"/>
    <w:rsid w:val="00A229FB"/>
    <w:rsid w:val="00A27FC1"/>
    <w:rsid w:val="00A3002B"/>
    <w:rsid w:val="00A47F68"/>
    <w:rsid w:val="00A668AD"/>
    <w:rsid w:val="00A6760F"/>
    <w:rsid w:val="00A723F0"/>
    <w:rsid w:val="00A743E3"/>
    <w:rsid w:val="00AA58EB"/>
    <w:rsid w:val="00AD7E18"/>
    <w:rsid w:val="00B20214"/>
    <w:rsid w:val="00B24514"/>
    <w:rsid w:val="00B518AC"/>
    <w:rsid w:val="00B63647"/>
    <w:rsid w:val="00B65E1E"/>
    <w:rsid w:val="00BA2E89"/>
    <w:rsid w:val="00BE2870"/>
    <w:rsid w:val="00BF2081"/>
    <w:rsid w:val="00CB5BB0"/>
    <w:rsid w:val="00CD445A"/>
    <w:rsid w:val="00CD6274"/>
    <w:rsid w:val="00D6451E"/>
    <w:rsid w:val="00DE2C65"/>
    <w:rsid w:val="00E4336B"/>
    <w:rsid w:val="00E477A6"/>
    <w:rsid w:val="00E713F4"/>
    <w:rsid w:val="00E73E85"/>
    <w:rsid w:val="00E75A4C"/>
    <w:rsid w:val="00E859F0"/>
    <w:rsid w:val="00EB5690"/>
    <w:rsid w:val="00ED0B8C"/>
    <w:rsid w:val="00ED5CF7"/>
    <w:rsid w:val="00EE69FC"/>
    <w:rsid w:val="00F1493D"/>
    <w:rsid w:val="00F2019F"/>
    <w:rsid w:val="00F2058F"/>
    <w:rsid w:val="00F3681A"/>
    <w:rsid w:val="00F4169E"/>
    <w:rsid w:val="00F45053"/>
    <w:rsid w:val="00F66F28"/>
    <w:rsid w:val="00F91986"/>
    <w:rsid w:val="00FC5A75"/>
    <w:rsid w:val="00FD38C8"/>
    <w:rsid w:val="00FE74D3"/>
    <w:rsid w:val="02377797"/>
    <w:rsid w:val="0AE99ECB"/>
    <w:rsid w:val="1A024CAF"/>
    <w:rsid w:val="3080C9A3"/>
    <w:rsid w:val="50DE8882"/>
    <w:rsid w:val="5E3C088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1B30E"/>
  <w15:chartTrackingRefBased/>
  <w15:docId w15:val="{A341A5CB-1513-4551-895E-00AB84B8E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B3AB0"/>
    <w:pPr>
      <w:jc w:val="both"/>
    </w:pPr>
  </w:style>
  <w:style w:type="paragraph" w:styleId="Heading1">
    <w:name w:val="heading 1"/>
    <w:basedOn w:val="Normal"/>
    <w:next w:val="Normal"/>
    <w:link w:val="Heading1Char"/>
    <w:rsid w:val="00375C49"/>
    <w:pPr>
      <w:keepNext/>
      <w:keepLines/>
      <w:spacing w:before="480" w:after="120" w:line="276" w:lineRule="auto"/>
      <w:contextualSpacing/>
      <w:jc w:val="center"/>
      <w:outlineLvl w:val="0"/>
    </w:pPr>
    <w:rPr>
      <w:rFonts w:ascii="Calibri" w:hAnsi="Calibri" w:eastAsia="Calibri" w:cs="Calibri"/>
      <w:b/>
      <w:color w:val="000000"/>
      <w:sz w:val="28"/>
      <w:szCs w:val="4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375C49"/>
    <w:rPr>
      <w:rFonts w:ascii="Calibri" w:hAnsi="Calibri" w:eastAsia="Calibri" w:cs="Calibri"/>
      <w:b/>
      <w:color w:val="000000"/>
      <w:sz w:val="28"/>
      <w:szCs w:val="48"/>
      <w:lang w:eastAsia="en-GB"/>
    </w:rPr>
  </w:style>
  <w:style w:type="table" w:styleId="TableGrid">
    <w:name w:val="Table Grid"/>
    <w:basedOn w:val="TableNormal"/>
    <w:uiPriority w:val="59"/>
    <w:rsid w:val="000B3AB0"/>
    <w:pPr>
      <w:spacing w:after="0" w:line="240" w:lineRule="auto"/>
    </w:pPr>
    <w:rPr>
      <w:rFonts w:ascii="Trebuchet MS" w:hAnsi="Trebuchet MS"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rsid w:val="000B3AB0"/>
    <w:pPr>
      <w:spacing w:after="0" w:line="240" w:lineRule="auto"/>
    </w:pPr>
    <w:rPr>
      <w:rFonts w:ascii="Times New Roman" w:hAnsi="Times New Roman" w:eastAsia="Times New Roman" w:cs="Times New Roman"/>
      <w:sz w:val="20"/>
      <w:szCs w:val="20"/>
    </w:rPr>
  </w:style>
  <w:style w:type="character" w:styleId="FootnoteTextChar" w:customStyle="1">
    <w:name w:val="Footnote Text Char"/>
    <w:basedOn w:val="DefaultParagraphFont"/>
    <w:link w:val="FootnoteText"/>
    <w:uiPriority w:val="99"/>
    <w:semiHidden/>
    <w:rsid w:val="000B3AB0"/>
    <w:rPr>
      <w:rFonts w:ascii="Times New Roman" w:hAnsi="Times New Roman" w:eastAsia="Times New Roman" w:cs="Times New Roman"/>
      <w:sz w:val="20"/>
      <w:szCs w:val="20"/>
    </w:rPr>
  </w:style>
  <w:style w:type="character" w:styleId="FootnoteReference">
    <w:name w:val="footnote reference"/>
    <w:basedOn w:val="DefaultParagraphFont"/>
    <w:uiPriority w:val="99"/>
    <w:unhideWhenUsed/>
    <w:rsid w:val="000B3AB0"/>
    <w:rPr>
      <w:vertAlign w:val="superscript"/>
    </w:rPr>
  </w:style>
  <w:style w:type="paragraph" w:styleId="Header">
    <w:name w:val="header"/>
    <w:basedOn w:val="Normal"/>
    <w:link w:val="HeaderChar"/>
    <w:uiPriority w:val="99"/>
    <w:unhideWhenUsed/>
    <w:rsid w:val="000B3AB0"/>
    <w:pPr>
      <w:tabs>
        <w:tab w:val="center" w:pos="4513"/>
        <w:tab w:val="right" w:pos="9026"/>
      </w:tabs>
      <w:spacing w:after="0" w:line="240" w:lineRule="auto"/>
    </w:pPr>
  </w:style>
  <w:style w:type="character" w:styleId="HeaderChar" w:customStyle="1">
    <w:name w:val="Header Char"/>
    <w:basedOn w:val="DefaultParagraphFont"/>
    <w:link w:val="Header"/>
    <w:uiPriority w:val="99"/>
    <w:rsid w:val="000B3AB0"/>
  </w:style>
  <w:style w:type="paragraph" w:styleId="Footer">
    <w:name w:val="footer"/>
    <w:basedOn w:val="Normal"/>
    <w:link w:val="FooterChar"/>
    <w:uiPriority w:val="99"/>
    <w:unhideWhenUsed/>
    <w:rsid w:val="000B3AB0"/>
    <w:pPr>
      <w:tabs>
        <w:tab w:val="center" w:pos="4513"/>
        <w:tab w:val="right" w:pos="9026"/>
      </w:tabs>
      <w:spacing w:after="0" w:line="240" w:lineRule="auto"/>
    </w:pPr>
  </w:style>
  <w:style w:type="character" w:styleId="FooterChar" w:customStyle="1">
    <w:name w:val="Footer Char"/>
    <w:basedOn w:val="DefaultParagraphFont"/>
    <w:link w:val="Footer"/>
    <w:uiPriority w:val="99"/>
    <w:rsid w:val="000B3AB0"/>
  </w:style>
  <w:style w:type="paragraph" w:styleId="BalloonText">
    <w:name w:val="Balloon Text"/>
    <w:basedOn w:val="Normal"/>
    <w:link w:val="BalloonTextChar"/>
    <w:uiPriority w:val="99"/>
    <w:semiHidden/>
    <w:unhideWhenUsed/>
    <w:rsid w:val="00B65E1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65E1E"/>
    <w:rPr>
      <w:rFonts w:ascii="Segoe UI" w:hAnsi="Segoe UI" w:cs="Segoe UI"/>
      <w:sz w:val="18"/>
      <w:szCs w:val="18"/>
    </w:rPr>
  </w:style>
  <w:style w:type="character" w:styleId="Style3" w:customStyle="1">
    <w:name w:val="Style3"/>
    <w:basedOn w:val="DefaultParagraphFont"/>
    <w:uiPriority w:val="1"/>
    <w:rsid w:val="00650B14"/>
    <w:rPr>
      <w:sz w:val="32"/>
    </w:rPr>
  </w:style>
  <w:style w:type="paragraph" w:styleId="paragraph" w:customStyle="1">
    <w:name w:val="paragraph"/>
    <w:basedOn w:val="Normal"/>
    <w:rsid w:val="00A723F0"/>
    <w:pPr>
      <w:spacing w:before="100" w:beforeAutospacing="1" w:after="100" w:afterAutospacing="1" w:line="240" w:lineRule="auto"/>
      <w:jc w:val="left"/>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723F0"/>
  </w:style>
  <w:style w:type="character" w:styleId="eop" w:customStyle="1">
    <w:name w:val="eop"/>
    <w:basedOn w:val="DefaultParagraphFont"/>
    <w:rsid w:val="00A723F0"/>
  </w:style>
  <w:style w:type="paragraph" w:styleId="ListParagraph">
    <w:name w:val="List Paragraph"/>
    <w:basedOn w:val="Normal"/>
    <w:uiPriority w:val="34"/>
    <w:qFormat/>
    <w:rsid w:val="000551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275420">
      <w:bodyDiv w:val="1"/>
      <w:marLeft w:val="0"/>
      <w:marRight w:val="0"/>
      <w:marTop w:val="0"/>
      <w:marBottom w:val="0"/>
      <w:divBdr>
        <w:top w:val="none" w:sz="0" w:space="0" w:color="auto"/>
        <w:left w:val="none" w:sz="0" w:space="0" w:color="auto"/>
        <w:bottom w:val="none" w:sz="0" w:space="0" w:color="auto"/>
        <w:right w:val="none" w:sz="0" w:space="0" w:color="auto"/>
      </w:divBdr>
      <w:divsChild>
        <w:div w:id="1464037655">
          <w:marLeft w:val="0"/>
          <w:marRight w:val="0"/>
          <w:marTop w:val="0"/>
          <w:marBottom w:val="0"/>
          <w:divBdr>
            <w:top w:val="none" w:sz="0" w:space="0" w:color="auto"/>
            <w:left w:val="none" w:sz="0" w:space="0" w:color="auto"/>
            <w:bottom w:val="none" w:sz="0" w:space="0" w:color="auto"/>
            <w:right w:val="none" w:sz="0" w:space="0" w:color="auto"/>
          </w:divBdr>
          <w:divsChild>
            <w:div w:id="1277442230">
              <w:marLeft w:val="0"/>
              <w:marRight w:val="0"/>
              <w:marTop w:val="0"/>
              <w:marBottom w:val="0"/>
              <w:divBdr>
                <w:top w:val="none" w:sz="0" w:space="0" w:color="auto"/>
                <w:left w:val="none" w:sz="0" w:space="0" w:color="auto"/>
                <w:bottom w:val="none" w:sz="0" w:space="0" w:color="auto"/>
                <w:right w:val="none" w:sz="0" w:space="0" w:color="auto"/>
              </w:divBdr>
            </w:div>
            <w:div w:id="52319783">
              <w:marLeft w:val="0"/>
              <w:marRight w:val="0"/>
              <w:marTop w:val="0"/>
              <w:marBottom w:val="0"/>
              <w:divBdr>
                <w:top w:val="none" w:sz="0" w:space="0" w:color="auto"/>
                <w:left w:val="none" w:sz="0" w:space="0" w:color="auto"/>
                <w:bottom w:val="none" w:sz="0" w:space="0" w:color="auto"/>
                <w:right w:val="none" w:sz="0" w:space="0" w:color="auto"/>
              </w:divBdr>
            </w:div>
            <w:div w:id="645158722">
              <w:marLeft w:val="0"/>
              <w:marRight w:val="0"/>
              <w:marTop w:val="0"/>
              <w:marBottom w:val="0"/>
              <w:divBdr>
                <w:top w:val="none" w:sz="0" w:space="0" w:color="auto"/>
                <w:left w:val="none" w:sz="0" w:space="0" w:color="auto"/>
                <w:bottom w:val="none" w:sz="0" w:space="0" w:color="auto"/>
                <w:right w:val="none" w:sz="0" w:space="0" w:color="auto"/>
              </w:divBdr>
            </w:div>
            <w:div w:id="1901867117">
              <w:marLeft w:val="0"/>
              <w:marRight w:val="0"/>
              <w:marTop w:val="0"/>
              <w:marBottom w:val="0"/>
              <w:divBdr>
                <w:top w:val="none" w:sz="0" w:space="0" w:color="auto"/>
                <w:left w:val="none" w:sz="0" w:space="0" w:color="auto"/>
                <w:bottom w:val="none" w:sz="0" w:space="0" w:color="auto"/>
                <w:right w:val="none" w:sz="0" w:space="0" w:color="auto"/>
              </w:divBdr>
            </w:div>
          </w:divsChild>
        </w:div>
        <w:div w:id="1553231754">
          <w:marLeft w:val="0"/>
          <w:marRight w:val="0"/>
          <w:marTop w:val="0"/>
          <w:marBottom w:val="0"/>
          <w:divBdr>
            <w:top w:val="none" w:sz="0" w:space="0" w:color="auto"/>
            <w:left w:val="none" w:sz="0" w:space="0" w:color="auto"/>
            <w:bottom w:val="none" w:sz="0" w:space="0" w:color="auto"/>
            <w:right w:val="none" w:sz="0" w:space="0" w:color="auto"/>
          </w:divBdr>
          <w:divsChild>
            <w:div w:id="137308303">
              <w:marLeft w:val="0"/>
              <w:marRight w:val="0"/>
              <w:marTop w:val="0"/>
              <w:marBottom w:val="0"/>
              <w:divBdr>
                <w:top w:val="none" w:sz="0" w:space="0" w:color="auto"/>
                <w:left w:val="none" w:sz="0" w:space="0" w:color="auto"/>
                <w:bottom w:val="none" w:sz="0" w:space="0" w:color="auto"/>
                <w:right w:val="none" w:sz="0" w:space="0" w:color="auto"/>
              </w:divBdr>
            </w:div>
            <w:div w:id="614561257">
              <w:marLeft w:val="0"/>
              <w:marRight w:val="0"/>
              <w:marTop w:val="0"/>
              <w:marBottom w:val="0"/>
              <w:divBdr>
                <w:top w:val="none" w:sz="0" w:space="0" w:color="auto"/>
                <w:left w:val="none" w:sz="0" w:space="0" w:color="auto"/>
                <w:bottom w:val="none" w:sz="0" w:space="0" w:color="auto"/>
                <w:right w:val="none" w:sz="0" w:space="0" w:color="auto"/>
              </w:divBdr>
            </w:div>
            <w:div w:id="398989277">
              <w:marLeft w:val="0"/>
              <w:marRight w:val="0"/>
              <w:marTop w:val="0"/>
              <w:marBottom w:val="0"/>
              <w:divBdr>
                <w:top w:val="none" w:sz="0" w:space="0" w:color="auto"/>
                <w:left w:val="none" w:sz="0" w:space="0" w:color="auto"/>
                <w:bottom w:val="none" w:sz="0" w:space="0" w:color="auto"/>
                <w:right w:val="none" w:sz="0" w:space="0" w:color="auto"/>
              </w:divBdr>
            </w:div>
            <w:div w:id="1513645531">
              <w:marLeft w:val="0"/>
              <w:marRight w:val="0"/>
              <w:marTop w:val="0"/>
              <w:marBottom w:val="0"/>
              <w:divBdr>
                <w:top w:val="none" w:sz="0" w:space="0" w:color="auto"/>
                <w:left w:val="none" w:sz="0" w:space="0" w:color="auto"/>
                <w:bottom w:val="none" w:sz="0" w:space="0" w:color="auto"/>
                <w:right w:val="none" w:sz="0" w:space="0" w:color="auto"/>
              </w:divBdr>
            </w:div>
            <w:div w:id="668946800">
              <w:marLeft w:val="0"/>
              <w:marRight w:val="0"/>
              <w:marTop w:val="0"/>
              <w:marBottom w:val="0"/>
              <w:divBdr>
                <w:top w:val="none" w:sz="0" w:space="0" w:color="auto"/>
                <w:left w:val="none" w:sz="0" w:space="0" w:color="auto"/>
                <w:bottom w:val="none" w:sz="0" w:space="0" w:color="auto"/>
                <w:right w:val="none" w:sz="0" w:space="0" w:color="auto"/>
              </w:divBdr>
            </w:div>
          </w:divsChild>
        </w:div>
        <w:div w:id="1903177332">
          <w:marLeft w:val="0"/>
          <w:marRight w:val="0"/>
          <w:marTop w:val="0"/>
          <w:marBottom w:val="0"/>
          <w:divBdr>
            <w:top w:val="none" w:sz="0" w:space="0" w:color="auto"/>
            <w:left w:val="none" w:sz="0" w:space="0" w:color="auto"/>
            <w:bottom w:val="none" w:sz="0" w:space="0" w:color="auto"/>
            <w:right w:val="none" w:sz="0" w:space="0" w:color="auto"/>
          </w:divBdr>
          <w:divsChild>
            <w:div w:id="299923551">
              <w:marLeft w:val="0"/>
              <w:marRight w:val="0"/>
              <w:marTop w:val="0"/>
              <w:marBottom w:val="0"/>
              <w:divBdr>
                <w:top w:val="none" w:sz="0" w:space="0" w:color="auto"/>
                <w:left w:val="none" w:sz="0" w:space="0" w:color="auto"/>
                <w:bottom w:val="none" w:sz="0" w:space="0" w:color="auto"/>
                <w:right w:val="none" w:sz="0" w:space="0" w:color="auto"/>
              </w:divBdr>
            </w:div>
            <w:div w:id="32397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glossaryDocument" Target="/word/glossary/document.xml" Id="Rcc4f774fd3684a90" /></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03eaece-4e42-449d-9192-c12b4c9b2f3f}"/>
      </w:docPartPr>
      <w:docPartBody>
        <w:p w14:paraId="2EF3CF22">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F7897673E94945801FFE530448BCD6" ma:contentTypeVersion="10" ma:contentTypeDescription="Create a new document." ma:contentTypeScope="" ma:versionID="2ce26768541d91a7d9d4c19fe3f16265">
  <xsd:schema xmlns:xsd="http://www.w3.org/2001/XMLSchema" xmlns:xs="http://www.w3.org/2001/XMLSchema" xmlns:p="http://schemas.microsoft.com/office/2006/metadata/properties" xmlns:ns2="4af466c1-04bd-4e4d-beb8-fade0f5495bb" xmlns:ns3="42b7d9b0-1883-4b95-a6a4-8085cae48d37" targetNamespace="http://schemas.microsoft.com/office/2006/metadata/properties" ma:root="true" ma:fieldsID="0112559b292eae2476c2d0fe6e15923c" ns2:_="" ns3:_="">
    <xsd:import namespace="4af466c1-04bd-4e4d-beb8-fade0f5495bb"/>
    <xsd:import namespace="42b7d9b0-1883-4b95-a6a4-8085cae48d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466c1-04bd-4e4d-beb8-fade0f549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b7d9b0-1883-4b95-a6a4-8085cae48d3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9A466-ADCF-44D9-A98F-906660721984}">
  <ds:schemaRefs>
    <ds:schemaRef ds:uri="http://schemas.microsoft.com/sharepoint/v3/contenttype/forms"/>
  </ds:schemaRefs>
</ds:datastoreItem>
</file>

<file path=customXml/itemProps2.xml><?xml version="1.0" encoding="utf-8"?>
<ds:datastoreItem xmlns:ds="http://schemas.openxmlformats.org/officeDocument/2006/customXml" ds:itemID="{010E9CBB-72E9-4437-BF4D-1B08226A27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90CD82-CB93-4D59-B86F-2B27C1DF8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466c1-04bd-4e4d-beb8-fade0f5495bb"/>
    <ds:schemaRef ds:uri="42b7d9b0-1883-4b95-a6a4-8085cae48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232FFA-604E-41AD-B588-E13065EDF56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Fiona Tonagh</dc:creator>
  <keywords/>
  <dc:description/>
  <lastModifiedBy>Alexander Milton</lastModifiedBy>
  <revision>47</revision>
  <dcterms:created xsi:type="dcterms:W3CDTF">2021-03-24T13:47:00.0000000Z</dcterms:created>
  <dcterms:modified xsi:type="dcterms:W3CDTF">2021-05-13T07:03:38.7217364Z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0x010100DEF7897673E94945801FFE530448BCD6</vt:lpwstr>
  </property>
</Properties>
</file>